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JUAN CARLOS PINEDA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MAYOR CENTRO COMERCIAL - PROPIEDAD HORIZONTAL</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38 A SUR # 34 D - 51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3118284793</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2021ER36585.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CENTRO MAYOR CENTRO COMERCIAL - PROPIEDAD HORIZONTAL identificada con NIT 900346807-7 y cuya sede inscrita fue la ubicada en Calle 38 A SUR # 34 D - 51,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6"/>
              <w:gridCol w:w="2795"/>
              <w:gridCol w:w="2767"/>
              <w:tblGridChange w:id="0">
                <w:tblGrid>
                  <w:gridCol w:w="2706"/>
                  <w:gridCol w:w="2795"/>
                  <w:gridCol w:w="276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MAYOR CENTRO COMERCIAL - PROPIEDAD HORIZONTAL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ESTRATEGICAS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6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9"/>
              <w:gridCol w:w="1378"/>
              <w:gridCol w:w="4911"/>
              <w:tblGridChange w:id="0">
                <w:tblGrid>
                  <w:gridCol w:w="1979"/>
                  <w:gridCol w:w="1378"/>
                  <w:gridCol w:w="491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Claudia Peña Ariza , Juan Hernando Cabrera Sassin y Hannover Gonzáles asistieron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-Dar continuidad al proceso que se viene  realizando, e identificar esa oportunidad que le permita mejorar su desempeño energético.</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Seguir trabajando  las herramientas de caracterización energética, que le permitan  cuantificar  los beneficios ( energéticos,económicos  y ambientales ).</w:t>
                  </w:r>
                </w:p>
              </w:tc>
            </w:tr>
            <w:tr>
              <w:trPr>
                <w:cantSplit w:val="0"/>
                <w:trHeight w:val="33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25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evaluación y selección del proveedor; se cuenta con indicadores establecidos, respecto al tamaño del proyecto; finalmente, se verifica el cumplimiento de actividades asociadas al cronograma del primer entregable.</w:t>
                  </w:r>
                </w:p>
                <w:p w:rsidR="00000000" w:rsidDel="00000000" w:rsidP="00000000" w:rsidRDefault="00000000" w:rsidRPr="00000000" w14:paraId="00000099">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99</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un proyecto de 381 KWp de potencia instalada, que permita generar </w:t>
                  </w:r>
                  <w:r w:rsidDel="00000000" w:rsidR="00000000" w:rsidRPr="00000000">
                    <w:rPr>
                      <w:rFonts w:ascii="Arial" w:cs="Arial" w:eastAsia="Arial" w:hAnsi="Arial"/>
                      <w:sz w:val="22"/>
                      <w:szCs w:val="22"/>
                      <w:rtl w:val="0"/>
                    </w:rPr>
                    <w:t xml:space="preserve">500 MWh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anuales, en un área de 6700 m2</w:t>
                  </w:r>
                </w:p>
              </w:tc>
            </w:tr>
          </w:tbl>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progresa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interpretación de  sus consumos energéticos con base en el total de las herramientas de caracterización energética trabajadas y presentó avances en la </w:t>
            </w:r>
            <w:r w:rsidDel="00000000" w:rsidR="00000000" w:rsidRPr="00000000">
              <w:rPr>
                <w:rFonts w:ascii="Arial" w:cs="Arial" w:eastAsia="Arial" w:hAnsi="Arial"/>
                <w:sz w:val="22"/>
                <w:szCs w:val="22"/>
                <w:rtl w:val="0"/>
              </w:rPr>
              <w:t xml:space="preserve">formulación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un proyecto de generación de energía a partir de tecnología  solar fotovoltaica.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D">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Scixqel91O662O+tMzN6rGMq9Q==">AMUW2mXOv8gsn0jkhmWmraLIw6/o1KelnTaQ5O8Clvvq62nI3ky67BFoaic9BR1xK0WkMGjY8EtBAvboIrFt1j8ITUr55R+sJp6EtArM60ftpXZB94mQZ4A=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2021-11-26T13:59:00Z</dcterms:created>
  <dc:creator>Jorge Manrique</dc:creator>
</cp:coreProperties>
</file>